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360"/>
        <w:jc w:val="center"/>
      </w:pPr>
      <w:r>
        <w:rPr>
          <w:rFonts w:ascii="Times New Roman" w:hAnsi="Times New Roman"/>
          <w:b/>
          <w:sz w:val="44"/>
          <w:rFonts w:eastAsia="宋体" w:ascii="Times New Roman" w:hAnsi="Times New Roman"/>
        </w:rPr>
        <w:t>建筑能源数字化服务合同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合同编号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：______________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签订地点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：______________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签订日期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：______________</w:t>
      </w:r>
    </w:p>
    <w:p>
      <w:r>
        <w:br w:type="page"/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甲方（用能单位）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名称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统一社会信用代码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法定代表人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地址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联系人 / 联系电话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乙方（服务提供方）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名称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统一社会信用代码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法定代表人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地址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联系人 / 联系电话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</w:tbl>
    <w:p/>
    <w:p>
      <w:r>
        <w:br w:type="page"/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鉴于甲方希望通过数字化系统提升建筑能源管理水平，乙方系专业从事建筑能源数字化的合法主体；双方依据《中华人民共和国民法典》《中华人民共和国数据安全法》《中华人民共和国个人信息保护法》《网络安全等级保护 2.0》等法律法规和标准，本着平等自愿、诚实信用原则，经友好协商，就甲方建筑能源数字化系统服务事宜达成如下协议：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第一章　总则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第一条　合作模式。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本合同采用 SaaS 服务模式，乙方为甲方提供建筑能源数字化系统软件服务及配套实施、运维、升级。甲方按建筑计费面积定期支付服务费。设备由乙方代采，产权归甲方。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依据：《中华人民共和国民法典》第八百七十八条。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第二条　合作期限。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合作期限为 ______ 年（默认 3 年），自 ______ 年 ______ 月 ______ 日起至 ______ 年 ______ 月 ______ 日止。期满前 90 日双方可协商续约。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第三条　项目范围。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项目要素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内容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项目地址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业态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建筑面积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 平方米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计费面积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 平方米（双方书面确认）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暖通空调系统类型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系统装机总功率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__________ kW</w:t>
            </w:r>
          </w:p>
        </w:tc>
      </w:tr>
    </w:tbl>
    <w:p/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第二章　双方义务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第四条　乙方义务。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乙方提供传感器、控制器、网关、软件平台等系统全部建设内容（设备代采，产权归甲方）。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乙方提供 7×24 远程监控、AI 优化调度、定期巡检、故障响应等运行服务。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乙方每季度发布 1 次系统版本更新，重大更新提前 30 日通知甲方。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乙方在开通时提供 1 次系统培训 + 年度复训 1 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5. 乙方实施周期为自合同生效起 30 至 90 日，具体里程碑由双方书面确认。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6. 设备代采费用由甲方按双方书面确认的《设备清单》金额，于系统验收合格后 30 日内一次性支付给乙方。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第五条　甲方义务。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提供安装空间、电源、通讯、布线通道等条件。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现场协调人员、施工许可、必要的停机配合。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指定联络人配合乙方工作，接收月度报告。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4.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不得擅自拆除、改装或损坏乙方部署的设备和网关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，否则应承担设备修复或重置费用。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5. 按合同约定支付服务费，配合系统验收。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6. 系统验收标准：数据采集完整率 ≥ 95%、数据上报延迟 ≤ 15 分钟、稳定运行 7×24 小时无故障。甲方代表书面签收《验收报告》。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第三章　服务等级与计费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第六条　服务等级（SLA）。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指标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标准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不达标处理</w:t>
            </w:r>
          </w:p>
        </w:tc>
      </w:tr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系统月度可用率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≥ 99%（月度停机 ≤ 7.2 小时）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**仅因乙方自身原因**导致不达标时：每降 0.1% 扣减当月服务费 2%</w:t>
            </w:r>
          </w:p>
        </w:tc>
      </w:tr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数据采集完整率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≥ 95%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**仅因乙方自身原因**导致不达标时：每降 1% 扣减当月服务费 1%</w:t>
            </w:r>
          </w:p>
        </w:tc>
      </w:tr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数据上报延迟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≤ 15 分钟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**仅因乙方自身原因**导致不达标时：每发生 1 次异常扣减当月服务费 0.5%，月度累计不超过当月服务费的 5%</w:t>
            </w:r>
          </w:p>
        </w:tc>
      </w:tr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故障响应时间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P0 ≤ 1 小时 / P1 ≤ 4 小时 / P2 ≤ 48 小时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**仅因乙方自身原因**导致不达标时：按 SLA 扣减</w:t>
            </w:r>
          </w:p>
        </w:tc>
      </w:tr>
      <w:tr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故障恢复时间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P0 ≤ 8 小时 / P1 ≤ 24 小时 / P2 ≤ 7 个工作日</w:t>
            </w:r>
          </w:p>
        </w:tc>
        <w:tc>
          <w:tcPr>
            <w:tcW w:type="dxa" w:w="2882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**仅因乙方自身原因**导致不达标时：按 SLA 扣减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故障分级定义：P0 故障为系统全面瘫痪或关键功能不可用；P1 故障为部分功能不可用或性能严重下降；P2 故障为非关键功能异常、不影响主要业务。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SLA 适用边界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：前述 SLA 指标与扣减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仅适用于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因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乙方自身原因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（包括但不限于乙方系统缺陷、乙方运维不当、乙方未及时处理乙方侧故障、乙方升级失误、乙方人员操作不当等）导致不达标的情形。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下列原因导致不达标的，不触发任何扣减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，且不计入 SLA 考核：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甲方原因：甲方网络中断、电源故障、设备故障、未配合维护、擅自改动系统、未按乙方要求提供接口或数据等；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不可抗力：自然灾害、政府行为、电信运营商故障、公共网络中断、疫情管控等；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第三方原因：甲方委托的第三方系统、平台、厂商造成的接口或数据故障；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计划内维护：乙方已提前 48 小时书面通知甲方的计划内升级、检修、扩容；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5. 乙方已尽合理努力但客观上无法避免的其他情形。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SLA 扣减总额上限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：任一季度内因乙方自身原因导致的所有 SLA 扣减金额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累计不超过当季应收服务费的 10%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；超出部分不再扣减。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第七条　基础服务费。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```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年度基础服务费 = 计费面积 × 单价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```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建筑类型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建议单价（元/平米/年）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写字楼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12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商场 / 综合体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15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医院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15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数据中心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15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政府 / 学校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10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工厂 / 园区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另议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实际单价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按项目规模、SLA 等级、增值服务需求双方协商确定，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写入合同正文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。本表为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基准单价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，适用于常规规模与标准 SLA 项目；特殊项目由双方书面约定。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计费面积折算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区域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折算比例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主体使用区域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100%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地下车库、配电室、机房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50%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公共区域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30%（或不计入，双方协商）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第八条　增值服务。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项目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计费方式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高级节能改造工程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按项目报价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7×24 驻场服务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按人月报价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定制化 dashboard / 报表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按项目报价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第三方系统对接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按项目报价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第九条　面积复核。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每年 12 月做一次面积复核。甲方如有改造、扩建、用途变更，须在 30 日内书面通知乙方。复核后服务费按新面积调整，差额在下一季度结算。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第四章　结算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第十条　结算与支付。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结算周期：季度预付。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付款时间：每季度首月 15 日前。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季度服务费 = 年度基础服务费 / 4。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付款方式：银行转账。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5. 逾期违约金：日万分之五；逾期超过 90 日乙方有权暂停服务，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暂停期间服务费照付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，且不影响合作年限计算。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6. 发票开具：乙方按实际结算金额开具增值税发票。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第十一条　SLA 扣减。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按第六条标准核算扣减，扣减金额从下月服务费中扣除。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SLA 适用边界与不达标例外情形以第六条约定为准。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连续 3 个季度 SLA 不达标，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甲方可选择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(a) 继续合作，由乙方在下一季度免费提供 1 次系统升级以改善服务；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或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(b) 提前终止合同，已支付未服务部分按日折算退款。甲方依本款提前终止的，不适用第二十条的补偿约定。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第五章　数据权属与软件许可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第十二条　数据所有权。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本合同项下产生的全部能耗数据、运行参数、设备状态数据、环境数据、由本合同衍生的报告、分析、可视化内容（合称"项目数据"）的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所有权、知识产权、收益权归甲方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依据：《中华人民共和国数据安全法》、《中华人民共和国民法典》。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第十三条　乙方使用限制。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乙方对项目数据的使用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严格限于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合同期内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仅用于本项目服务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2.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不得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将项目数据用于任何其他项目、AI 模型训练、市场宣传或其他非本合同约定目的（除非取得甲方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事先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书面同意）。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乙方违反本条规定的，甲方有权立即解除本合同并要求赔偿损失，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但损失赔偿受本协议第二十二条责任上限约束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第十四条　数据移交与销毁。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合作期满或终止前 30 日，乙方向甲方提交完整数据导出包（含数据库 dump、CSV 格式、API 文档、数据字典）。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甲方在 30 日内完成数据验收。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验收通过后 7 日内，乙方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全量销毁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所有乙方侧副本（含备份、缓存、日志），并出具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第三方见证销毁证明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乙方未按本条执行的，每逾期 1 日按未服务部分服务费的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万分之五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向甲方支付违约金，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累计不超过 5 万元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第十五条　AI 模型与软件。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AI 模型（基础模型，以及经甲方书面同意后利用项目数据训练的衍生模型）归乙方所有。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2.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软件许可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：非卖断（License，非 Ownership），许可范围限于本项目，许可期限与本合同期一致。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甲方对系统享有本项目范围内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使用权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不可转让、不可对外提供、不可反向工程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乙方算法、模型架构、训练方法属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商业秘密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，甲方不得接触、披露、转让。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5.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数据迁移权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：合同到期或终止，乙方须配合数据迁移（60 日内完成），迁移格式 CSV + 数据库 dump + API 文档。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甲方有完全的数据可移植性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第六章　数据安全与个人信息保护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第十六条　数据安全保护。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乙方对甲方数据负有保密义务，保密期限至合作期满后 5 年。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数据传输全程采用 TLS 1.2 及以上版本加密。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数据存储于中国境内服务器，不涉及数据出境。如需使用境外云服务或第三方服务，乙方应事先取得甲方书面同意，并按国家互联网信息办公室规定办理数据出境安全评估。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乙方应满足网络安全等级保护 2.0（等保 2.0）二级及以上要求。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5. 乙方发现数据泄露、篡改、丢失等安全事件的，应在 24 小时内书面通知甲方，并在 72 小时内提交事件处理报告。乙方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故意或重大过失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导致数据安全事件的，承担相应法律责任。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第十七条　个人信息处理（如适用）。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乙方处理可能涉及个人信息的数据时，严格遵守"告知 - 同意"原则，仅以节能优化为唯一目的，不用于其他任何用途。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乙方应采取去标识化、匿名化等技术措施，确保无法识别到特定个人。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合作期满后，涉及个人信息的数据应按国家有关规定予以删除或匿名化处理。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依据：《中华人民共和国个人信息保护法》第四条、第十三条。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第七章　违约、退出与责任限制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第十八条　乙方违约。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1.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SLA 不达标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：按第四章扣减（第十一条）。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2.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数据安全事件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（乙方原因）：见第二十二条责任上限。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3.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擅自使用甲方数据超出授权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：甲方有权立即解除合同并索赔，但索赔额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受第二十二条责任上限约束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4.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未按第十四条销毁数据副本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：按未服务部分服务费的万分之五 / 日支付违约金，累计不超过 5 万元。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第十九条　甲方违约。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逾期付款：日万分之五违约金。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擅自拆除、改装或损坏乙方设备：甲方承担设备重置费用。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阻碍乙方正常运维：乙方有权暂停服务，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暂停期间服务费照付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提前终止合同：按第二十条处理。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第二十条　退出机制。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正常退出：合同期满前 90 日书面通知。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甲方提前终止：应按下列标准向乙方支付预期服务费损失补偿——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合作未满 1 年：12 个月预期服务费；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合作满 1 年未满 3 年：6 个月预期服务费；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合作满 3 年：无需补偿。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本款所称预期服务费，按提前终止前 12 个月（不足 12 个月的按实际合作月份折算）甲方已支付服务费的月平均值计算。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乙方主动退出：因甲方严重违约（逾期支付超过 90 日、擅自拆除或损坏设备、无正当理由拒绝配合验收或运维）乙方终止合同的，乙方不承担赔偿责任；其他情形下乙方应提前 90 日书面通知甲方，已收取未服务部分的服务费按日折算退还甲方。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因不可抗力或政府政策重大变化导致合同无法履行的，双方互不承担违约责任，已收取未服务部分的服务费按日折算退还甲方。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第二十一条　设备归属。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本项目设备由乙方代采，产权归甲方所有，合作期满或终止后仍归甲方所有。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合作期内任何情形下，乙方保留 AI 引擎软件与模型的所有权；项目数据权属按本合同第十二条执行。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第二十二条　责任上限。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1.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乙方对甲方承担的赔偿责任总额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不超过累计已收服务费的 2 倍或人民币 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200 万元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（以高者为准）。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本责任上限不适用于：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乙方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故意或重大过失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导致的数据造假；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  - 乙方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故意或重大过失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导致的安全事故；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上述任一情形下，乙方的赔偿责任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以实际损失为限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，不含可得利益、间接损失、惩罚性赔偿。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第八章　争议、保密与附则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第二十三条　争议解决。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因本合同引起的争议，双方应首先通过友好协商解决。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协商不成的，任何一方均有权向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北京仲裁委员会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申请仲裁。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争议解决期间，双方继续履行本合同中不影响争议解决的其他条款。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仲裁费、律师费由败诉方承担。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第二十四条　保密义务。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双方对本合同内容、商业数据、技术秘密负有保密义务。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乙方员工接触项目数据须签</w:t>
      </w:r>
      <w:r>
        <w:rPr>
          <w:rFonts w:ascii="Times New Roman" w:hAnsi="Times New Roman"/>
          <w:b/>
          <w:sz w:val="24"/>
          <w:rFonts w:eastAsia="宋体" w:ascii="Times New Roman" w:hAnsi="Times New Roman"/>
        </w:rPr>
        <w:t>保密协议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（合同签署时作为附属文件）。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保密期限：合作期满后 5 年。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以下信息不属于保密范围：已公开信息、一方独立开发的信息、从第三方合法获取的信息。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第二十五条　通知与送达。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 xml:space="preserve"> 本合同项下的所有通知、请求均须以书面形式送达（含 EMS 快递、电子邮件）。电子邮件以发送成功为送达。任一方变更联系人的，应在 3 日内书面通知对方。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第二十六条　合同生效与文本。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1. 本合同自双方法定代表人或授权代表签字并加盖公章之日起生效。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2. 本合同一式肆份，甲乙双方各执贰份，具有同等法律效力。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3. 本合同未尽事宜，双方书面补充；补充协议与本合同具有同等法律效力。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4. 本合同的标题仅为方便阅读所用，不影响相关条款的解释。</w:t>
      </w:r>
    </w:p>
    <w:p>
      <w:r>
        <w:br w:type="page"/>
      </w:r>
    </w:p>
    <w:p>
      <w:pPr>
        <w:spacing w:before="240" w:after="160"/>
      </w:pPr>
      <w:r>
        <w:rPr>
          <w:rFonts w:ascii="Times New Roman" w:hAnsi="Times New Roman"/>
          <w:b/>
          <w:sz w:val="30"/>
          <w:rFonts w:eastAsia="宋体" w:ascii="Times New Roman" w:hAnsi="Times New Roman"/>
        </w:rPr>
        <w:t>签署页</w:t>
      </w:r>
    </w:p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甲方（盖章）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法定代表人 / 授权代表（签字）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日期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 年 ______ 月 ______ 日</w:t>
            </w:r>
          </w:p>
        </w:tc>
      </w:tr>
    </w:tbl>
    <w:p/>
    <w:p>
      <w:pPr>
        <w:spacing w:after="80" w:line="360" w:lineRule="auto"/>
        <w:ind w:firstLine="420"/>
      </w:pPr>
      <w:r>
        <w:rPr>
          <w:rFonts w:ascii="Times New Roman" w:hAnsi="Times New Roman"/>
          <w:b/>
          <w:sz w:val="24"/>
          <w:rFonts w:eastAsia="宋体" w:ascii="Times New Roman" w:hAnsi="Times New Roman"/>
        </w:rPr>
        <w:t>乙方（盖章）</w:t>
      </w:r>
      <w:r>
        <w:rPr>
          <w:rFonts w:ascii="Times New Roman" w:hAnsi="Times New Roman"/>
          <w:b w:val="0"/>
          <w:sz w:val="24"/>
          <w:rFonts w:eastAsia="宋体" w:ascii="Times New Roman" w:hAnsi="Times New Roman"/>
        </w:rPr>
        <w:t>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3"/>
        <w:gridCol w:w="4323"/>
      </w:tblGrid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法定代表人 / 授权代表（签字）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/>
                <w:sz w:val="21"/>
                <w:rFonts w:eastAsia="宋体" w:ascii="Times New Roman" w:hAnsi="Times New Roman"/>
              </w:rPr>
              <w:t>______________</w:t>
            </w:r>
          </w:p>
        </w:tc>
      </w:tr>
      <w:tr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日期</w:t>
            </w:r>
          </w:p>
        </w:tc>
        <w:tc>
          <w:tcPr>
            <w:tcW w:type="dxa" w:w="4323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/>
                <w:b w:val="0"/>
                <w:sz w:val="21"/>
                <w:rFonts w:eastAsia="宋体" w:ascii="Times New Roman" w:hAnsi="Times New Roman"/>
              </w:rPr>
              <w:t>______ 年 ______ 月 ______ 日</w:t>
            </w:r>
          </w:p>
        </w:tc>
      </w:tr>
    </w:tbl>
    <w:p/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